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Plan de thèse de doctorat</w:t>
      </w:r>
    </w:p>
    <w:p>
      <w:pPr>
        <w:jc w:val="center"/>
      </w:pPr>
      <w:r>
        <w:rPr>
          <w:i/>
          <w:sz w:val="26"/>
        </w:rPr>
        <w:t>Rajeunissement et interventions gérothérapeutiques : cartographie critique par niveau de preuve, accessibilité et cadre réglementaire</w:t>
      </w:r>
    </w:p>
    <w:p>
      <w:pPr>
        <w:jc w:val="center"/>
      </w:pPr>
      <w:r>
        <w:rPr>
          <w:sz w:val="20"/>
        </w:rPr>
        <w:t>Titre provisoire — document de cadrage, août 2026</w:t>
      </w:r>
    </w:p>
    <w:p/>
    <w:p>
      <w:r>
        <w:rPr>
          <w:b w:val="0"/>
          <w:i w:val="0"/>
        </w:rPr>
        <w:t>Ce document définit le plan cible pour transformer le contenu existant (15 chapitres, 11 carnets, ~55 interventions cartographiées) en thèse de doctorat soutenable. Il précise les éléments structurels manquants et la nouvelle organisation des chapitres.</w:t>
      </w:r>
    </w:p>
    <w:p>
      <w:pPr>
        <w:pStyle w:val="Heading1"/>
      </w:pPr>
      <w:r>
        <w:t>Cadrage préalable</w:t>
      </w:r>
    </w:p>
    <w:p>
      <w:r>
        <w:rPr>
          <w:b w:val="0"/>
          <w:i w:val="0"/>
        </w:rPr>
        <w:t>À trancher avant toute rédaction — ces éléments conditionnent l'éligibilité de la thèse, pas seulement sa qualité.</w:t>
      </w:r>
    </w:p>
    <w:p>
      <w:pPr>
        <w:pStyle w:val="ListBullet"/>
      </w:pPr>
      <w:r>
        <w:rPr>
          <w:b/>
        </w:rPr>
        <w:t xml:space="preserve">Rattachement : </w:t>
      </w:r>
      <w:r>
        <w:t>discipline Santé publique — évaluation des technologies de santé (HTA) / épidémiologie, plutôt que « Sciences de la vie » (exigerait une contribution expérimentale de laboratoire absente ici) ou « Éthique » (trop étroit pour couvrir la cartographie).</w:t>
      </w:r>
    </w:p>
    <w:p>
      <w:pPr>
        <w:pStyle w:val="ListBullet"/>
      </w:pPr>
      <w:r>
        <w:rPr>
          <w:b/>
        </w:rPr>
        <w:t xml:space="preserve">École doctorale + directeur de thèse + laboratoire d'accueil : </w:t>
      </w:r>
      <w:r>
        <w:t>à obtenir en amont — condition d'inscription, pas une formalité de fin de parcours.</w:t>
      </w:r>
    </w:p>
    <w:p>
      <w:pPr>
        <w:pStyle w:val="ListBullet"/>
      </w:pPr>
      <w:r>
        <w:rPr>
          <w:b/>
        </w:rPr>
        <w:t xml:space="preserve">Comité de suivi individuel (CSI) : </w:t>
      </w:r>
      <w:r>
        <w:t>obligatoire en France depuis la réforme du doctorat, jalons annuels.</w:t>
      </w:r>
    </w:p>
    <w:p>
      <w:pPr>
        <w:pStyle w:val="ListBullet"/>
      </w:pPr>
      <w:r>
        <w:rPr>
          <w:b/>
        </w:rPr>
        <w:t xml:space="preserve">Question de recherche resserrée : </w:t>
      </w:r>
      <w:r>
        <w:t>« Peut-on construire et valider une grille reproductible de hiérarchisation preuve/coût/accès pour les interventions gérothérapeutiques, et que révèle son application sur l'état du champ en 2026 ? » — la cartographie devient un résultat d'application, pas un simple inventaire.</w:t>
      </w:r>
    </w:p>
    <w:p>
      <w:r>
        <w:rPr>
          <w:b/>
          <w:i w:val="0"/>
        </w:rPr>
        <w:t>Contribution originale (exigence absolue, actuellement absente) — deux options réalistes à partir de la matière existante :</w:t>
      </w:r>
    </w:p>
    <w:p>
      <w:pPr>
        <w:pStyle w:val="ListBullet"/>
      </w:pPr>
      <w:r>
        <w:rPr>
          <w:b/>
        </w:rPr>
        <w:t xml:space="preserve">Méthodologique — </w:t>
      </w:r>
      <w:r>
        <w:t>concevoir et valider la grille de cotation (test de fiabilité inter-évaluateurs, comparaison à des cadres existants type GRADE/HTA).</w:t>
      </w:r>
    </w:p>
    <w:p>
      <w:pPr>
        <w:pStyle w:val="ListBullet"/>
      </w:pPr>
      <w:r>
        <w:rPr>
          <w:b/>
        </w:rPr>
        <w:t xml:space="preserve">Empirique — </w:t>
      </w:r>
      <w:r>
        <w:t>volet primaire complémentaire (enquête auprès de cliniques longévité sur l'écart entre allégations marketing et preuve, ou entretiens avec régulateurs/patients).</w:t>
      </w:r>
    </w:p>
    <w:p>
      <w:r>
        <w:rPr>
          <w:b w:val="0"/>
          <w:i/>
        </w:rPr>
        <w:t>Sans l'un des deux, le document reste une synthèse, pas une thèse.</w:t>
      </w:r>
    </w:p>
    <w:p>
      <w:pPr>
        <w:pStyle w:val="Heading1"/>
      </w:pPr>
      <w:r>
        <w:t>Plan</w:t>
      </w:r>
    </w:p>
    <w:p>
      <w:pPr>
        <w:pStyle w:val="Heading2"/>
      </w:pPr>
      <w:r>
        <w:t>Pages liminaires</w:t>
      </w:r>
    </w:p>
    <w:p>
      <w:pPr>
        <w:pStyle w:val="ListBullet"/>
      </w:pPr>
      <w:r>
        <w:t>Résumé (français / anglais), mots-clés, liste des abréviations, sommaire.</w:t>
      </w:r>
    </w:p>
    <w:p>
      <w:pPr>
        <w:pStyle w:val="Heading2"/>
      </w:pPr>
      <w:r>
        <w:t>Introduction générale</w:t>
      </w:r>
    </w:p>
    <w:p>
      <w:r>
        <w:rPr>
          <w:b w:val="0"/>
          <w:i w:val="0"/>
        </w:rPr>
        <w:t>Vieillissement démographique, essor du marché de la longévité, fragmentation de la littérature entre preuve académique et marketing, question de recherche, objectifs, annonce du plan.</w:t>
      </w:r>
    </w:p>
    <w:p>
      <w:pPr>
        <w:pStyle w:val="Heading2"/>
      </w:pPr>
      <w:r>
        <w:t>Partie 1 — État de l'art et cadre conceptuel</w:t>
      </w:r>
    </w:p>
    <w:p>
      <w:pPr>
        <w:pStyle w:val="ListBullet"/>
      </w:pPr>
      <w:r>
        <w:rPr>
          <w:b/>
        </w:rPr>
        <w:t xml:space="preserve">Chapitre 1 — </w:t>
      </w:r>
      <w:r>
        <w:t>Vieillissement biologique : les hallmarks et leurs mécanismes (s'appuie sur le contenu hallmarks déjà produit).</w:t>
      </w:r>
    </w:p>
    <w:p>
      <w:pPr>
        <w:pStyle w:val="ListBullet"/>
      </w:pPr>
      <w:r>
        <w:rPr>
          <w:b/>
        </w:rPr>
        <w:t xml:space="preserve">Chapitre 2 — </w:t>
      </w:r>
      <w:r>
        <w:t>Écosystème de la longévité : biotechs, cliniques, marché, production de discours.</w:t>
      </w:r>
    </w:p>
    <w:p>
      <w:pPr>
        <w:pStyle w:val="ListBullet"/>
      </w:pPr>
      <w:r>
        <w:rPr>
          <w:b/>
        </w:rPr>
        <w:t xml:space="preserve">Chapitre 3 — </w:t>
      </w:r>
      <w:r>
        <w:t>Cadres existants de hiérarchisation de la preuve en santé (GRADE, HTA, revues Cochrane) — sert à justifier la grille propre à la thèse plutôt que de l'inventer ex nihilo.</w:t>
      </w:r>
    </w:p>
    <w:p>
      <w:pPr>
        <w:pStyle w:val="Heading2"/>
      </w:pPr>
      <w:r>
        <w:t>Partie 2 — Méthodologie</w:t>
      </w:r>
    </w:p>
    <w:p>
      <w:pPr>
        <w:pStyle w:val="ListBullet"/>
      </w:pPr>
      <w:r>
        <w:rPr>
          <w:b/>
        </w:rPr>
        <w:t xml:space="preserve">Chapitre 4 — </w:t>
      </w:r>
      <w:r>
        <w:t>Protocole de revue (type scoping review / PRISMA-ScR) : sources interrogées, critères d'inclusion/exclusion, construction et validation de la grille preuve × coût × accès, gestion du biais des sources (académique vs marketing), limites.</w:t>
      </w:r>
    </w:p>
    <w:p>
      <w:pPr>
        <w:pStyle w:val="ListBullet"/>
      </w:pPr>
      <w:r>
        <w:rPr>
          <w:b/>
        </w:rPr>
        <w:t xml:space="preserve">Chapitre 5 — </w:t>
      </w:r>
      <w:r>
        <w:t>Volet empirique complémentaire — le chapitre qui porte la contribution originale (enquête, entretiens ou analyse bibliométrique du champ).</w:t>
      </w:r>
    </w:p>
    <w:p>
      <w:pPr>
        <w:pStyle w:val="Heading2"/>
      </w:pPr>
      <w:r>
        <w:t>Partie 3 — Résultats : cartographie appliquée</w:t>
      </w:r>
    </w:p>
    <w:p>
      <w:r>
        <w:rPr>
          <w:b w:val="0"/>
          <w:i w:val="0"/>
        </w:rPr>
        <w:t>Reprend et retraite les chapitres actuels 1 à 12, passés au filtre de la méthodologie du chapitre 4, avec tableaux systématiques et non plus de simples listes annotées.</w:t>
      </w:r>
    </w:p>
    <w:p>
      <w:pPr>
        <w:pStyle w:val="ListBullet"/>
      </w:pPr>
      <w:r>
        <w:rPr>
          <w:b/>
        </w:rPr>
        <w:t xml:space="preserve">Chapitre 6 — </w:t>
      </w:r>
      <w:r>
        <w:t>Fondations et diagnostics.</w:t>
      </w:r>
    </w:p>
    <w:p>
      <w:pPr>
        <w:pStyle w:val="ListBullet"/>
      </w:pPr>
      <w:r>
        <w:rPr>
          <w:b/>
        </w:rPr>
        <w:t xml:space="preserve">Chapitre 7 — </w:t>
      </w:r>
      <w:r>
        <w:t>Pharmacologie repositionnée et nutraceutiques.</w:t>
      </w:r>
    </w:p>
    <w:p>
      <w:pPr>
        <w:pStyle w:val="ListBullet"/>
      </w:pPr>
      <w:r>
        <w:rPr>
          <w:b/>
        </w:rPr>
        <w:t xml:space="preserve">Chapitre 8 — </w:t>
      </w:r>
      <w:r>
        <w:t>Sénolytiques, hormonothérapie, peptides.</w:t>
      </w:r>
    </w:p>
    <w:p>
      <w:pPr>
        <w:pStyle w:val="ListBullet"/>
      </w:pPr>
      <w:r>
        <w:rPr>
          <w:b/>
        </w:rPr>
        <w:t xml:space="preserve">Chapitre 9 — </w:t>
      </w:r>
      <w:r>
        <w:t>Esthétique et régénératif local (synthèse courte, renvoi).</w:t>
      </w:r>
    </w:p>
    <w:p>
      <w:pPr>
        <w:pStyle w:val="ListBullet"/>
      </w:pPr>
      <w:r>
        <w:rPr>
          <w:b/>
        </w:rPr>
        <w:t xml:space="preserve">Chapitre 10 — </w:t>
      </w:r>
      <w:r>
        <w:t>Régénératif systémique et thérapie génique.</w:t>
      </w:r>
    </w:p>
    <w:p>
      <w:pPr>
        <w:pStyle w:val="ListBullet"/>
      </w:pPr>
      <w:r>
        <w:rPr>
          <w:b/>
        </w:rPr>
        <w:t xml:space="preserve">Chapitre 11 — </w:t>
      </w:r>
      <w:r>
        <w:t>Reprogrammation partielle et frontières spéculatives.</w:t>
      </w:r>
    </w:p>
    <w:p>
      <w:pPr>
        <w:pStyle w:val="Heading2"/>
      </w:pPr>
      <w:r>
        <w:t>Partie 4 — Discussion transversale</w:t>
      </w:r>
    </w:p>
    <w:p>
      <w:pPr>
        <w:pStyle w:val="ListBullet"/>
      </w:pPr>
      <w:r>
        <w:rPr>
          <w:b/>
        </w:rPr>
        <w:t xml:space="preserve">Chapitre 12 — </w:t>
      </w:r>
      <w:r>
        <w:t>Cadre légal et économique comparé (FDA/EMA/ANSM, tourisme médical) — approfondissement du chapitre 13 actuel en vraie analyse comparée.</w:t>
      </w:r>
    </w:p>
    <w:p>
      <w:pPr>
        <w:pStyle w:val="ListBullet"/>
      </w:pPr>
      <w:r>
        <w:rPr>
          <w:b/>
        </w:rPr>
        <w:t xml:space="preserve">Chapitre 13 — </w:t>
      </w:r>
      <w:r>
        <w:t>Accessibilité et équité : qui a accès à quoi — angle critique absent du document actuel.</w:t>
      </w:r>
    </w:p>
    <w:p>
      <w:pPr>
        <w:pStyle w:val="ListBullet"/>
      </w:pPr>
      <w:r>
        <w:rPr>
          <w:b/>
        </w:rPr>
        <w:t xml:space="preserve">Chapitre 14 — </w:t>
      </w:r>
      <w:r>
        <w:t>Discussion générale : limites de la revue, obsolescence rapide du sujet, mise en perspective avec la littérature HTA.</w:t>
      </w:r>
    </w:p>
    <w:p>
      <w:pPr>
        <w:pStyle w:val="Heading2"/>
      </w:pPr>
      <w:r>
        <w:t>Conclusion générale et perspectives</w:t>
      </w:r>
    </w:p>
    <w:p>
      <w:r>
        <w:rPr>
          <w:b w:val="0"/>
          <w:i w:val="0"/>
        </w:rPr>
        <w:t>Contribution revendiquée, limites, pistes de recherche futures.</w:t>
      </w:r>
    </w:p>
    <w:p>
      <w:pPr>
        <w:pStyle w:val="Heading2"/>
      </w:pPr>
      <w:r>
        <w:t>Bibliographie</w:t>
      </w:r>
    </w:p>
    <w:p>
      <w:r>
        <w:rPr>
          <w:b w:val="0"/>
          <w:i w:val="0"/>
        </w:rPr>
        <w:t>Norme académique stricte (Zotero/EndNote), sources primaires/peer-reviewed uniquement. Les sources grand public (blogs, sites marketing) actuellement mêlées aux références académiques sont reléguées en annexe « veille » séparée, pas dans la bibliographie de thèse.</w:t>
      </w:r>
    </w:p>
    <w:p>
      <w:pPr>
        <w:pStyle w:val="Heading2"/>
      </w:pPr>
      <w:r>
        <w:t>Annexes</w:t>
      </w:r>
    </w:p>
    <w:p>
      <w:r>
        <w:rPr>
          <w:b w:val="0"/>
          <w:i w:val="0"/>
        </w:rPr>
        <w:t>Grille de cotation complète, tableau des ~55 interventions, matériel d'entretien/enquête le cas échéant.</w:t>
      </w:r>
    </w:p>
    <w:p>
      <w:pPr>
        <w:pStyle w:val="Heading2"/>
      </w:pPr>
      <w:r>
        <w:t>Valorisation scientifique</w:t>
      </w:r>
    </w:p>
    <w:p>
      <w:r>
        <w:rPr>
          <w:b w:val="0"/>
          <w:i w:val="0"/>
        </w:rPr>
        <w:t>Au moins un article soumis ou une communication tirée de la thèse, généralement attendu au moment de la soutenance.</w:t>
      </w:r>
    </w:p>
    <w:p/>
    <w:p>
      <w:r>
        <w:rPr>
          <w:b/>
        </w:rPr>
        <w:t>Le plus gros écart avec le document actuel n'est pas le contenu (déjà solide) mais l'absence de méthodologie explicite et de contribution originale — ce sont les deux chapitres qui n'existent pas encore et qui conditionnent la soutenance.</w:t>
      </w:r>
    </w:p>
    <w:sectPr w:rsidR="00FC693F" w:rsidRPr="0006063C" w:rsidSect="00034616">
      <w:pgSz w:w="12240" w:h="15840"/>
      <w:pgMar w:top="1440" w:right="1417" w:bottom="144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